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9C" w:rsidRPr="00752AE4" w:rsidRDefault="0095739C" w:rsidP="00D37387">
      <w:pPr>
        <w:spacing w:line="240" w:lineRule="exact"/>
        <w:rPr>
          <w:rFonts w:ascii="MS Gothic" w:eastAsiaTheme="minorEastAsia" w:hAnsi="MS Gothic" w:cs="MS Gothic"/>
          <w:sz w:val="22"/>
          <w:szCs w:val="22"/>
        </w:rPr>
      </w:pPr>
    </w:p>
    <w:p w:rsidR="0085369E" w:rsidRPr="009A0204" w:rsidRDefault="004C5DFB" w:rsidP="009A0204">
      <w:pPr>
        <w:spacing w:line="600" w:lineRule="exact"/>
        <w:jc w:val="center"/>
        <w:rPr>
          <w:rFonts w:ascii="微软雅黑" w:eastAsia="微软雅黑" w:hAnsi="微软雅黑"/>
          <w:b/>
          <w:sz w:val="40"/>
          <w:szCs w:val="40"/>
        </w:rPr>
      </w:pPr>
      <w:r w:rsidRPr="009A0204">
        <w:rPr>
          <w:rFonts w:ascii="微软雅黑" w:eastAsia="微软雅黑" w:hAnsi="微软雅黑"/>
          <w:b/>
          <w:sz w:val="40"/>
          <w:szCs w:val="40"/>
        </w:rPr>
        <w:t>浙江省家政服务条例</w:t>
      </w:r>
    </w:p>
    <w:p w:rsidR="0085369E" w:rsidRPr="005C5893" w:rsidRDefault="004C5DFB" w:rsidP="00D37387">
      <w:pPr>
        <w:spacing w:line="240" w:lineRule="exact"/>
        <w:rPr>
          <w:rFonts w:ascii="微软雅黑" w:eastAsia="微软雅黑" w:hAnsi="微软雅黑" w:cs="MS Gothic"/>
          <w:sz w:val="22"/>
          <w:szCs w:val="22"/>
        </w:rPr>
      </w:pPr>
      <w:r w:rsidRPr="00D37387">
        <w:rPr>
          <w:rFonts w:ascii="MS Gothic" w:eastAsia="MS Gothic" w:hAnsi="MS Gothic" w:cs="MS Gothic" w:hint="eastAsia"/>
          <w:sz w:val="22"/>
          <w:szCs w:val="22"/>
        </w:rPr>
        <w:t>​</w:t>
      </w:r>
    </w:p>
    <w:p w:rsidR="005C5893" w:rsidRPr="005C5893" w:rsidRDefault="005C5893" w:rsidP="005C5893">
      <w:pPr>
        <w:spacing w:line="240" w:lineRule="exact"/>
        <w:jc w:val="center"/>
        <w:rPr>
          <w:rFonts w:ascii="微软雅黑" w:eastAsia="微软雅黑" w:hAnsi="微软雅黑" w:cs="MS Gothic"/>
          <w:sz w:val="22"/>
          <w:szCs w:val="22"/>
        </w:rPr>
      </w:pPr>
      <w:r w:rsidRPr="005C5893">
        <w:rPr>
          <w:rFonts w:ascii="微软雅黑" w:eastAsia="微软雅黑" w:hAnsi="微软雅黑" w:cs="MS Gothic" w:hint="eastAsia"/>
          <w:sz w:val="22"/>
          <w:szCs w:val="22"/>
        </w:rPr>
        <w:t>2024-07-01</w:t>
      </w:r>
    </w:p>
    <w:p w:rsidR="005C5893" w:rsidRPr="005C5893" w:rsidRDefault="005C5893" w:rsidP="00D37387">
      <w:pPr>
        <w:spacing w:line="240" w:lineRule="exact"/>
        <w:rPr>
          <w:rFonts w:ascii="微软雅黑" w:eastAsiaTheme="minorEastAsia" w:hAnsi="微软雅黑"/>
          <w:sz w:val="22"/>
          <w:szCs w:val="22"/>
        </w:rPr>
      </w:pPr>
    </w:p>
    <w:p w:rsidR="0085369E" w:rsidRPr="00D37387" w:rsidRDefault="004C5DFB" w:rsidP="009A0204">
      <w:pPr>
        <w:spacing w:line="240" w:lineRule="exact"/>
        <w:jc w:val="center"/>
        <w:rPr>
          <w:rFonts w:ascii="微软雅黑" w:eastAsia="微软雅黑" w:hAnsi="微软雅黑"/>
          <w:sz w:val="22"/>
          <w:szCs w:val="22"/>
        </w:rPr>
      </w:pPr>
      <w:r w:rsidRPr="00D37387">
        <w:rPr>
          <w:rFonts w:ascii="微软雅黑" w:eastAsia="微软雅黑" w:hAnsi="微软雅黑"/>
          <w:sz w:val="22"/>
          <w:szCs w:val="22"/>
        </w:rPr>
        <w:t>（2023年11月24日浙江省第十四届人民代表大会常务委员会第六次会议通过）</w:t>
      </w:r>
    </w:p>
    <w:p w:rsidR="0085369E" w:rsidRPr="00D37387" w:rsidRDefault="004C5DFB" w:rsidP="00D37387">
      <w:pPr>
        <w:spacing w:line="240" w:lineRule="exact"/>
        <w:rPr>
          <w:rFonts w:ascii="微软雅黑" w:eastAsia="微软雅黑" w:hAnsi="微软雅黑"/>
          <w:sz w:val="22"/>
          <w:szCs w:val="22"/>
        </w:rPr>
      </w:pPr>
      <w:r w:rsidRPr="00D37387">
        <w:rPr>
          <w:rFonts w:ascii="MS Gothic" w:eastAsia="MS Gothic" w:hAnsi="MS Gothic" w:cs="MS Gothic" w:hint="eastAsia"/>
          <w:sz w:val="22"/>
          <w:szCs w:val="22"/>
        </w:rPr>
        <w:t>​</w:t>
      </w:r>
    </w:p>
    <w:p w:rsidR="0085369E" w:rsidRPr="00D37387" w:rsidRDefault="004C5DFB" w:rsidP="00D37387">
      <w:pPr>
        <w:spacing w:line="240" w:lineRule="exact"/>
        <w:jc w:val="center"/>
        <w:rPr>
          <w:rFonts w:ascii="微软雅黑" w:eastAsia="微软雅黑" w:hAnsi="微软雅黑"/>
          <w:sz w:val="22"/>
          <w:szCs w:val="22"/>
        </w:rPr>
      </w:pPr>
      <w:r w:rsidRPr="00D37387">
        <w:rPr>
          <w:rFonts w:ascii="微软雅黑" w:eastAsia="微软雅黑" w:hAnsi="微软雅黑"/>
          <w:sz w:val="22"/>
          <w:szCs w:val="22"/>
        </w:rPr>
        <w:t>目　　录</w:t>
      </w:r>
    </w:p>
    <w:p w:rsidR="0085369E" w:rsidRPr="00D37387" w:rsidRDefault="004C5DFB" w:rsidP="00D37387">
      <w:pPr>
        <w:spacing w:line="240" w:lineRule="exact"/>
        <w:ind w:leftChars="200" w:left="632" w:rightChars="200" w:right="632"/>
        <w:jc w:val="left"/>
        <w:rPr>
          <w:rFonts w:ascii="微软雅黑" w:eastAsia="微软雅黑" w:hAnsi="微软雅黑"/>
          <w:sz w:val="22"/>
          <w:szCs w:val="22"/>
        </w:rPr>
      </w:pPr>
      <w:r w:rsidRPr="00D37387">
        <w:rPr>
          <w:rFonts w:ascii="微软雅黑" w:eastAsia="微软雅黑" w:hAnsi="微软雅黑"/>
          <w:sz w:val="22"/>
          <w:szCs w:val="22"/>
        </w:rPr>
        <w:t>第一章　总　　则</w:t>
      </w:r>
    </w:p>
    <w:p w:rsidR="0085369E" w:rsidRPr="00D37387" w:rsidRDefault="004C5DFB" w:rsidP="00D37387">
      <w:pPr>
        <w:spacing w:line="240" w:lineRule="exact"/>
        <w:ind w:leftChars="200" w:left="632" w:rightChars="200" w:right="632"/>
        <w:jc w:val="left"/>
        <w:rPr>
          <w:rFonts w:ascii="微软雅黑" w:eastAsia="微软雅黑" w:hAnsi="微软雅黑"/>
          <w:sz w:val="22"/>
          <w:szCs w:val="22"/>
        </w:rPr>
      </w:pPr>
      <w:r w:rsidRPr="00D37387">
        <w:rPr>
          <w:rFonts w:ascii="微软雅黑" w:eastAsia="微软雅黑" w:hAnsi="微软雅黑"/>
          <w:sz w:val="22"/>
          <w:szCs w:val="22"/>
        </w:rPr>
        <w:t>第二章　行业管理</w:t>
      </w:r>
    </w:p>
    <w:p w:rsidR="0085369E" w:rsidRPr="00D37387" w:rsidRDefault="004C5DFB" w:rsidP="00D37387">
      <w:pPr>
        <w:spacing w:line="240" w:lineRule="exact"/>
        <w:ind w:leftChars="200" w:left="632" w:rightChars="200" w:right="632"/>
        <w:jc w:val="left"/>
        <w:rPr>
          <w:rFonts w:ascii="微软雅黑" w:eastAsia="微软雅黑" w:hAnsi="微软雅黑"/>
          <w:sz w:val="22"/>
          <w:szCs w:val="22"/>
        </w:rPr>
      </w:pPr>
      <w:r w:rsidRPr="00D37387">
        <w:rPr>
          <w:rFonts w:ascii="微软雅黑" w:eastAsia="微软雅黑" w:hAnsi="微软雅黑"/>
          <w:sz w:val="22"/>
          <w:szCs w:val="22"/>
        </w:rPr>
        <w:t>第三章　服务规范</w:t>
      </w:r>
    </w:p>
    <w:p w:rsidR="0085369E" w:rsidRPr="00D37387" w:rsidRDefault="004C5DFB" w:rsidP="00D37387">
      <w:pPr>
        <w:spacing w:line="240" w:lineRule="exact"/>
        <w:ind w:leftChars="200" w:left="632" w:rightChars="200" w:right="632"/>
        <w:jc w:val="left"/>
        <w:rPr>
          <w:rFonts w:ascii="微软雅黑" w:eastAsia="微软雅黑" w:hAnsi="微软雅黑"/>
          <w:sz w:val="22"/>
          <w:szCs w:val="22"/>
        </w:rPr>
      </w:pPr>
      <w:r w:rsidRPr="00D37387">
        <w:rPr>
          <w:rFonts w:ascii="微软雅黑" w:eastAsia="微软雅黑" w:hAnsi="微软雅黑"/>
          <w:sz w:val="22"/>
          <w:szCs w:val="22"/>
        </w:rPr>
        <w:t>第四章　产业促进</w:t>
      </w:r>
    </w:p>
    <w:p w:rsidR="0085369E" w:rsidRPr="00D37387" w:rsidRDefault="004C5DFB" w:rsidP="00D37387">
      <w:pPr>
        <w:spacing w:line="240" w:lineRule="exact"/>
        <w:ind w:leftChars="200" w:left="632" w:rightChars="200" w:right="632"/>
        <w:jc w:val="left"/>
        <w:rPr>
          <w:rFonts w:ascii="微软雅黑" w:eastAsia="微软雅黑" w:hAnsi="微软雅黑"/>
          <w:sz w:val="22"/>
          <w:szCs w:val="22"/>
        </w:rPr>
      </w:pPr>
      <w:r w:rsidRPr="00D37387">
        <w:rPr>
          <w:rFonts w:ascii="微软雅黑" w:eastAsia="微软雅黑" w:hAnsi="微软雅黑"/>
          <w:sz w:val="22"/>
          <w:szCs w:val="22"/>
        </w:rPr>
        <w:t>第五章　法律责任</w:t>
      </w:r>
    </w:p>
    <w:p w:rsidR="0085369E" w:rsidRPr="009A0204" w:rsidRDefault="004C5DFB" w:rsidP="009A0204">
      <w:pPr>
        <w:spacing w:line="240" w:lineRule="exact"/>
        <w:ind w:leftChars="200" w:left="632" w:rightChars="200" w:right="632"/>
        <w:jc w:val="left"/>
        <w:rPr>
          <w:rFonts w:ascii="微软雅黑" w:eastAsia="微软雅黑" w:hAnsi="微软雅黑"/>
          <w:sz w:val="22"/>
          <w:szCs w:val="22"/>
        </w:rPr>
      </w:pPr>
      <w:r w:rsidRPr="00D37387">
        <w:rPr>
          <w:rFonts w:ascii="微软雅黑" w:eastAsia="微软雅黑" w:hAnsi="微软雅黑"/>
          <w:sz w:val="22"/>
          <w:szCs w:val="22"/>
        </w:rPr>
        <w:t>第六章　附　　则</w:t>
      </w:r>
    </w:p>
    <w:p w:rsidR="0085369E" w:rsidRPr="009A0204" w:rsidRDefault="004C5DFB" w:rsidP="009A0204">
      <w:pPr>
        <w:spacing w:line="340" w:lineRule="exact"/>
        <w:jc w:val="center"/>
        <w:rPr>
          <w:rFonts w:ascii="微软雅黑" w:eastAsia="微软雅黑" w:hAnsi="微软雅黑"/>
          <w:b/>
          <w:color w:val="C00000"/>
          <w:sz w:val="24"/>
        </w:rPr>
      </w:pPr>
      <w:r w:rsidRPr="009A0204">
        <w:rPr>
          <w:rFonts w:ascii="微软雅黑" w:eastAsia="微软雅黑" w:hAnsi="微软雅黑"/>
          <w:b/>
          <w:color w:val="C00000"/>
          <w:sz w:val="24"/>
        </w:rPr>
        <w:t>第一章　总　　则</w:t>
      </w:r>
    </w:p>
    <w:p w:rsidR="0085369E" w:rsidRPr="009A0204" w:rsidRDefault="004C5DFB" w:rsidP="009A0204">
      <w:pPr>
        <w:spacing w:line="340" w:lineRule="exact"/>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第一条</w:t>
      </w:r>
      <w:r w:rsidRPr="009A0204">
        <w:rPr>
          <w:rFonts w:ascii="微软雅黑" w:eastAsia="微软雅黑" w:hAnsi="微软雅黑"/>
          <w:sz w:val="24"/>
        </w:rPr>
        <w:t xml:space="preserve">　为了规范家政服务活动，维护家政服务各方的合法权益，推动家政服务业高质量发展，满足人民群众的家政服务需求，根据有关法律、行政法规，结合本省实际，制定本条例。</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第二条</w:t>
      </w:r>
      <w:r w:rsidRPr="009A0204">
        <w:rPr>
          <w:rFonts w:ascii="微软雅黑" w:eastAsia="微软雅黑" w:hAnsi="微软雅黑"/>
          <w:sz w:val="24"/>
        </w:rPr>
        <w:t xml:space="preserve">　本省行政区域内从事家政服务活动及其管理、规范、促进等相关工作，适用本条例。</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本条例所称家政服务，是指家政服务人员进入家庭成员住所或者在其他约定场所，为家政服务用户提供保洁烹饪类家务服务、家用设施物品维修保养、家庭人员生活照护、孕产妇婴幼儿护理等满足家庭日常生活需求的有偿服务活动。</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本条例所称家政服务机构，是指依法设立，从事家政服务经营活动的法人、非法人组织和个体工商户，包括与家政服务用户直接签订家政服务合同并指派人员提供服务的家政服务机构，以及与家政服务用户签订委托合同并提供居间介绍服务的家政服务中介机构。</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第三条</w:t>
      </w:r>
      <w:r w:rsidRPr="009A0204">
        <w:rPr>
          <w:rFonts w:ascii="微软雅黑" w:eastAsia="微软雅黑" w:hAnsi="微软雅黑"/>
          <w:sz w:val="24"/>
        </w:rPr>
        <w:t xml:space="preserve">　县级以上人民政府应当将促进家政服务业发展工作纳入国民经济和社会发展规划纲要，制定规范和促进家政服务业发展的政策措施，建立健全相应的工作协调机制，并将家政服务业管理工作所需经费纳入本级财政预算。</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第四条</w:t>
      </w:r>
      <w:r w:rsidRPr="009A0204">
        <w:rPr>
          <w:rFonts w:ascii="微软雅黑" w:eastAsia="微软雅黑" w:hAnsi="微软雅黑"/>
          <w:sz w:val="24"/>
        </w:rPr>
        <w:t xml:space="preserve">　县级以上人民政府商务主管部门负责本行政区域内家政服务业的产业发展、政策制定、行业管理等工作，指导家政服务行业组织依法开展工作。设区的市、县（市、区）人民政府可以确定其他部门履行家政服务业的行业管理职责。</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发展改革、人力资源社会保障、教育、公安、民政、财政、卫生健康、市场监督管理等部门按照各自职责，做好家政服务业相关工作。</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工会、共产主义青年团、妇女联合会、残疾人联合会等团体协助做好促进家政服务业发展的相关工作。</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第五条</w:t>
      </w:r>
      <w:r w:rsidRPr="009A0204">
        <w:rPr>
          <w:rFonts w:ascii="微软雅黑" w:eastAsia="微软雅黑" w:hAnsi="微软雅黑"/>
          <w:sz w:val="24"/>
        </w:rPr>
        <w:t xml:space="preserve">　家政服务行业组织应当加强行业自律和诚信建设，建立健全行业服务规范，引导家政服务机构和家政服务人员提升服务质量，配合有关部门开展行业监管，依法开展家政服务纠纷调解，维护家政服务各方的合法权益。</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jc w:val="center"/>
        <w:rPr>
          <w:rFonts w:ascii="微软雅黑" w:eastAsia="微软雅黑" w:hAnsi="微软雅黑"/>
          <w:b/>
          <w:color w:val="C00000"/>
          <w:sz w:val="24"/>
        </w:rPr>
      </w:pPr>
      <w:r w:rsidRPr="009A0204">
        <w:rPr>
          <w:rFonts w:ascii="微软雅黑" w:eastAsia="微软雅黑" w:hAnsi="微软雅黑"/>
          <w:b/>
          <w:color w:val="C00000"/>
          <w:sz w:val="24"/>
        </w:rPr>
        <w:t>第二章　行业管理</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第六条</w:t>
      </w:r>
      <w:r w:rsidRPr="009A0204">
        <w:rPr>
          <w:rFonts w:ascii="微软雅黑" w:eastAsia="微软雅黑" w:hAnsi="微软雅黑"/>
          <w:sz w:val="24"/>
        </w:rPr>
        <w:t xml:space="preserve">　省商务主管部门应当依托一体化智能化公共数据平台，建设全省统一的“浙里家政”综合管理服务平台（以下简称“浙里家政”），并负责其运行、维护和管理。省商务主管部门可以将“浙里家政”的运行、维护，按照公开、公平、公正原则委托第三方机构实施；委托第三方机构实施的，省商务主管部门应当加强对第三方机构确保数据安全等运行规范的监督管理。</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浙里家政”应当及时汇集并发布家政服务业相关法律法规、政策措施、服务标准、合同示范文本等信息，依法归集、存储、更新家政服务机构和家政服务人员的基本信息、信用信息和服务质量评价记录等信息，并依法为公众提供内容查询、文本下载等公共服务。</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lastRenderedPageBreak/>
        <w:t>第七条</w:t>
      </w:r>
      <w:r w:rsidRPr="009A0204">
        <w:rPr>
          <w:rFonts w:ascii="微软雅黑" w:eastAsia="微软雅黑" w:hAnsi="微软雅黑"/>
          <w:sz w:val="24"/>
        </w:rPr>
        <w:t xml:space="preserve">　本省对家政服务机构及其指派或者居间介绍的家政服务人员实行机构码和人员码管理制度。</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浙里家政”对按照规定录入信息的家政服务机构、家政服务人员，通过公共数据平台统一的数据共享通道核查身份信息后，赋予家政服务机构码、家政服务人员码；对家政服务人员的健康证明、技能等级状况、从业经历等信息通过数据共享通道比对后，在家政服务人员码予以显示并动态更新。</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第八条</w:t>
      </w:r>
      <w:r w:rsidRPr="009A0204">
        <w:rPr>
          <w:rFonts w:ascii="微软雅黑" w:eastAsia="微软雅黑" w:hAnsi="微软雅黑"/>
          <w:sz w:val="24"/>
        </w:rPr>
        <w:t xml:space="preserve">　家政服务机构应当自从事家政服务经营活动之日起十日内，将单位名称、住所或者主要经营场所、法定代表人或者主要负责人、联系方式、统一社会信用代码等信息录入“浙里家政”并动态更新，保证信息的真实、准确。</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对拟指派或者居间介绍但尚未取得家政服务人员码的人员，家政服务机构应当将其姓名、身份证号码、性别、户籍地址、健康证明、技能等级状况、从业经历等信息，录入“浙里家政”并动态更新，保证信息的真实、准确。家政服务机构应当对其指派的家政服务人员发放附有家政服务人员码的服务工号牌。</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家政服务人员本人也可以将其姓名、身份证号码、性别、户籍地址、健康证明、技能等级状况、从业经历等信息直接录入“浙里家政”并动态更新，保证信息的真实、准确。</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第九条</w:t>
      </w:r>
      <w:r w:rsidRPr="009A0204">
        <w:rPr>
          <w:rFonts w:ascii="微软雅黑" w:eastAsia="微软雅黑" w:hAnsi="微软雅黑"/>
          <w:sz w:val="24"/>
        </w:rPr>
        <w:t xml:space="preserve">　“浙里家政”应当建立对家政服务机构和家政服务人员的服务质量评价体系。评价包括选项打分、个性化评论和根据评价规则确定的综合评价等级等。</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用户可以通过家政服务机构码和家政服务人员码对其服务质量予以评价。评价应当基于已接受的家政服务，依据事实、客观公正；对评论带有猜测性、推断性、人格侮辱性、地域歧视性等用语的，“浙里家政”可以采取删除、屏蔽、限制评论等措施。</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第十条</w:t>
      </w:r>
      <w:r w:rsidRPr="009A0204">
        <w:rPr>
          <w:rFonts w:ascii="微软雅黑" w:eastAsia="微软雅黑" w:hAnsi="微软雅黑"/>
          <w:sz w:val="24"/>
        </w:rPr>
        <w:t xml:space="preserve">　对家政服务机构的服务质量评价记录，“浙里家政”应当予以展示。</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对家政服务人员的服务质量选项打分和综合评价等级，“浙里家政”应当予以展示；对其个性化评论，“浙里家政”不予展示，家政服务用户可以在选择确定家政服务人员前通过扫码方式查询；家政服务机构应当向家政服务用户提供相关服务人员的家政服务人员码。</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第十一条</w:t>
      </w:r>
      <w:r w:rsidRPr="009A0204">
        <w:rPr>
          <w:rFonts w:ascii="微软雅黑" w:eastAsia="微软雅黑" w:hAnsi="微软雅黑"/>
          <w:sz w:val="24"/>
        </w:rPr>
        <w:t xml:space="preserve">　“浙里家政”的管理办法和家政服务机构、家政服务人员的服务质量评价办法，由省商务主管部门制定，报省人民政府同意后施行。</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第十二条</w:t>
      </w:r>
      <w:r w:rsidRPr="009A0204">
        <w:rPr>
          <w:rFonts w:ascii="微软雅黑" w:eastAsia="微软雅黑" w:hAnsi="微软雅黑"/>
          <w:sz w:val="24"/>
        </w:rPr>
        <w:t xml:space="preserve">　省商务主管部门、省市场监督管理部门应当按照职责制定、发布家政服务标准，促进家政服务机构提升管理服务水平，引导家政服务机构、家政服务人员提供高质量的家政服务。</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第十三条</w:t>
      </w:r>
      <w:r w:rsidRPr="009A0204">
        <w:rPr>
          <w:rFonts w:ascii="微软雅黑" w:eastAsia="微软雅黑" w:hAnsi="微软雅黑"/>
          <w:sz w:val="24"/>
        </w:rPr>
        <w:t xml:space="preserve">　省商务主管部门应当会同省市场监督管理部门，根据家政服务的不同事项分类制定家政服务合同示范文本，并推广使用。</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第十四条</w:t>
      </w:r>
      <w:r w:rsidRPr="009A0204">
        <w:rPr>
          <w:rFonts w:ascii="微软雅黑" w:eastAsia="微软雅黑" w:hAnsi="微软雅黑"/>
          <w:sz w:val="24"/>
        </w:rPr>
        <w:t xml:space="preserve">　县级以上人民政府应当畅通12345政务服务热线等投诉渠道，建立健全家政服务纠纷多元预防调处化解机制，依法及时化解家政服务活动中产生的纠纷。</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商务、市场监督管理、人力资源社会保障、公安等部门应当按照各自职责，健全投诉举报处理机制，及时受理家政服务用户、家政服务人员投诉举报，并依法予以处理。</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鼓励和支持街道办事处、居民委员会对家政服务纠纷进行调解。</w:t>
      </w:r>
    </w:p>
    <w:p w:rsidR="0085369E" w:rsidRPr="009A0204" w:rsidRDefault="004C5DFB" w:rsidP="009A0204">
      <w:pPr>
        <w:spacing w:line="20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jc w:val="center"/>
        <w:rPr>
          <w:rFonts w:ascii="微软雅黑" w:eastAsia="微软雅黑" w:hAnsi="微软雅黑"/>
          <w:b/>
          <w:color w:val="C00000"/>
          <w:sz w:val="24"/>
        </w:rPr>
      </w:pPr>
      <w:r w:rsidRPr="009A0204">
        <w:rPr>
          <w:rFonts w:ascii="微软雅黑" w:eastAsia="微软雅黑" w:hAnsi="微软雅黑"/>
          <w:b/>
          <w:color w:val="C00000"/>
          <w:sz w:val="24"/>
        </w:rPr>
        <w:t>第三章　服务规范</w:t>
      </w:r>
    </w:p>
    <w:p w:rsidR="0085369E" w:rsidRPr="009A0204" w:rsidRDefault="004C5DFB" w:rsidP="009A0204">
      <w:pPr>
        <w:spacing w:line="16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第十五条</w:t>
      </w:r>
      <w:r w:rsidRPr="009A0204">
        <w:rPr>
          <w:rFonts w:ascii="微软雅黑" w:eastAsia="微软雅黑" w:hAnsi="微软雅黑"/>
          <w:sz w:val="24"/>
        </w:rPr>
        <w:t xml:space="preserve">　家政服务用户可以通过家政服务机构聘请家政服务人员，也可以通过熟人介绍、自行招揽等方式直接聘请家政服务人员。</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鼓励家政服务用户通过家政服务机构聘请家政服务人员。</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第十六条</w:t>
      </w:r>
      <w:r w:rsidRPr="009A0204">
        <w:rPr>
          <w:rFonts w:ascii="微软雅黑" w:eastAsia="微软雅黑" w:hAnsi="微软雅黑"/>
          <w:sz w:val="24"/>
        </w:rPr>
        <w:t xml:space="preserve">　家政服务机构应当建立健全内部管理制度，完善服务质量评估和激励机制，公开服务项目和收费标准，提升家政服务质量，维护家政服务人员、家政服务用户的合法权益。</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家政服务机构应当建立便捷的投诉处理机制，及时处理家政服务投诉。</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第十七条</w:t>
      </w:r>
      <w:r w:rsidRPr="009A0204">
        <w:rPr>
          <w:rFonts w:ascii="微软雅黑" w:eastAsia="微软雅黑" w:hAnsi="微软雅黑"/>
          <w:sz w:val="24"/>
        </w:rPr>
        <w:t xml:space="preserve">　提供居家式家政服务或者在一定时期内定时提供家政服务的，家政服务机构应当建立健全需求评估、服务质量跟踪等制度，根据用户需求指派或者居间介绍适合的家政服务人员，沟通双方的意见，并及时更换不适合的家政服务人员。</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lastRenderedPageBreak/>
        <w:t>第十八条</w:t>
      </w:r>
      <w:r w:rsidRPr="009A0204">
        <w:rPr>
          <w:rFonts w:ascii="微软雅黑" w:eastAsia="微软雅黑" w:hAnsi="微软雅黑"/>
          <w:sz w:val="24"/>
        </w:rPr>
        <w:t xml:space="preserve">　提供居家式家政服务的，家政服务机构应当对拟指派或者居间介绍的家政服务人员核实其是否具有盗窃、赌博、吸毒、侮辱、诽谤、虐待、暴力伤害等违法犯罪行为记录，以及其违法犯罪行为的发生时间、情节轻重等情况，并如实告知家政服务用户。</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家政服务用户可以根据核实情况和相关评价记录情况，接受或者拒绝拟指派或者居间介绍的家政服务人员。</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第十九条</w:t>
      </w:r>
      <w:r w:rsidRPr="009A0204">
        <w:rPr>
          <w:rFonts w:ascii="微软雅黑" w:eastAsia="微软雅黑" w:hAnsi="微软雅黑"/>
          <w:sz w:val="24"/>
        </w:rPr>
        <w:t xml:space="preserve">　鼓励家政服务机构、家政服务人员和家政服务用户订立书面家政服务合同、委托合同，鼓励通过“浙里家政”进行线上签约、线上支付。</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提供居间介绍服务的家政服务中介机构，应当在其经营场所的显著位置（电子商务经营者的首页显著位置）持续公示其中介身份，并在家政服务合同、委托合同中明确表明其中介身份。</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第二十条</w:t>
      </w:r>
      <w:r w:rsidRPr="009A0204">
        <w:rPr>
          <w:rFonts w:ascii="微软雅黑" w:eastAsia="微软雅黑" w:hAnsi="微软雅黑"/>
          <w:sz w:val="24"/>
        </w:rPr>
        <w:t xml:space="preserve">　家政服务合同、委托合同应当明确下列事项：</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（一）各方身份信息；</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（二）服务地点、内容、方式和期限；</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（三）服务费用、材料费用及其支付形式；</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（四）家政服务合同应当就家政服务人员意外伤害保险、职业责任保险等的投保责任、保险金额作出明确约定；委托合同应当明确提示家政服务合同双方就上述保险事项作出约定；</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（五）违约责任与争议解决方式。</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鼓励家政服务用户与其直接聘请的家政服务人员对前款规定事项事先作出约定。</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第二十一条</w:t>
      </w:r>
      <w:r w:rsidRPr="009A0204">
        <w:rPr>
          <w:rFonts w:ascii="微软雅黑" w:eastAsia="微软雅黑" w:hAnsi="微软雅黑"/>
          <w:sz w:val="24"/>
        </w:rPr>
        <w:t xml:space="preserve">　居家式家政服务合同还应当对下列所涉及的事项作出约定：</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（一）孕产妇、婴幼儿、老人、病人、残疾人等照护对象的特殊照护需求，以及家庭安全防护、隐私保护等特别注意事项的具体要求；</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（二）家政服务人员的身体健康检查要求和费用承担责任；</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（三）家政服务人员的休息时间、住宿条件，以及对家政服务人员生活习惯、交往交际的特别要求；</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（四）家政服务人员的更换情形、更换次数、更换人员到岗时间。</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照护对象患有传染病、精神障碍或者其他严重疾病的，家政服务用户应当事先告知，并对照护对象和家政服务人员应当采取的防护措施作出明确约定。</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第二十二条</w:t>
      </w:r>
      <w:r w:rsidRPr="009A0204">
        <w:rPr>
          <w:rFonts w:ascii="微软雅黑" w:eastAsia="微软雅黑" w:hAnsi="微软雅黑"/>
          <w:sz w:val="24"/>
        </w:rPr>
        <w:t xml:space="preserve">　鼓励家政服务机构采取先提供服务后收费的方式运营。</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提供居家式家政服务或者在一定时期内定时提供家政服务，采取预收服务费方式的，预收的服务费不得超过三个月；预收服务费超过三个月的，家政服务用户有权要求退还超过部分的服务费，家政服务机构应当自收到用户要求退还服务费之日起五日内退还，并不得因此减少或者取消已承诺的优惠。</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第二十三条</w:t>
      </w:r>
      <w:r w:rsidRPr="009A0204">
        <w:rPr>
          <w:rFonts w:ascii="微软雅黑" w:eastAsia="微软雅黑" w:hAnsi="微软雅黑"/>
          <w:sz w:val="24"/>
        </w:rPr>
        <w:t xml:space="preserve">　家政服务机构不得有下列行为：</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（一）指派或者居间介绍未取得家政服务人员码的人员从事家政服务；</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（二）指派或者居间介绍未按照规定参加相应类别体检或者体检不合格的家政服务人员从事家政服务；</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（三）隐瞒家政服务用户、家政服务人员应当知晓的重要事实或者提供虚假情况；</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（四）泄露或者向他人非法提供家政服务用户、家政服务人员的隐私和个人信息；</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（五）其他违反法律、法规的行为。</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第二十四条</w:t>
      </w:r>
      <w:r w:rsidRPr="009A0204">
        <w:rPr>
          <w:rFonts w:ascii="微软雅黑" w:eastAsia="微软雅黑" w:hAnsi="微软雅黑"/>
          <w:sz w:val="24"/>
        </w:rPr>
        <w:t xml:space="preserve">　家政服务机构指派或者居间介绍的家政服务人员，上门服务时应当主动出示服务工号牌或者家政服务人员码；未主动出示的，家政服务用户有权要求其出示；拒不出示或者与指派、居间介绍的家政服务人员不一致的，家政服务用户可以拒绝接受其服务；家政服务用户拒绝接受服务的，家政服务机构应当退回已收取的居间介绍费等相关费用，并依法赔偿相应损失。</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第二十五条</w:t>
      </w:r>
      <w:r w:rsidRPr="009A0204">
        <w:rPr>
          <w:rFonts w:ascii="微软雅黑" w:eastAsia="微软雅黑" w:hAnsi="微软雅黑"/>
          <w:sz w:val="24"/>
        </w:rPr>
        <w:t xml:space="preserve">　家政服务人员不得有下列行为：</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（一）谩骂、恐吓、侮辱、诽谤、虐待、殴打家政服务对象；</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（二）盗窃、侵占、骗取、擅自处置或者故意损毁家政服务用户、家政服务对象的财物；</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（三）隐瞒与其所提供家政服务有重大影响的背景情况和健康状况；</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lastRenderedPageBreak/>
        <w:t>（四）向家政服务用户重复收费、编造服务项目收费、虚构家用设施物品故障或者谎报用工用料；</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（五）泄露或者向他人非法提供家政服务用户、家政服务对象的隐私和个人信息；</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（六）其他违反法律、法规或者违背公序良俗、职业道德的行为。</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第二十六条</w:t>
      </w:r>
      <w:r w:rsidRPr="009A0204">
        <w:rPr>
          <w:rFonts w:ascii="微软雅黑" w:eastAsia="微软雅黑" w:hAnsi="微软雅黑"/>
          <w:sz w:val="24"/>
        </w:rPr>
        <w:t xml:space="preserve">　家政服务用户不得有下列行为：</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（一）谩骂、侮辱、诽谤、诬陷、虐待、殴打家政服务人员；</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（二）强迫家政服务人员提供约定以外的或者可能对家政服务人员人身、财产安全造成损害的服务；</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（三）泄露或者向他人非法提供家政服务人员的隐私和个人信息；</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（四）其他违反法律、法规或者违背公序良俗的行为。</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第二十七条</w:t>
      </w:r>
      <w:r w:rsidRPr="009A0204">
        <w:rPr>
          <w:rFonts w:ascii="微软雅黑" w:eastAsia="微软雅黑" w:hAnsi="微软雅黑"/>
          <w:sz w:val="24"/>
        </w:rPr>
        <w:t xml:space="preserve">　医疗机构应当采取服务质量招标的方式确定进驻医疗机构为患者提供生活照护服务的家政服务机构；服务质量招标应当以机构规模、指派护工的职业技能等级和信用记录、患者和护士的评价记录、价格收费等因素作为评标主要事项，不得向家政服务机构收取进场费。</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医疗机构和家政服务机构应当对护工的岗位培训以及就餐、休息等事项作出约定，向患者公开，并加强对护工的管理。卫生健康主管部门应当会同商务主管部门加强对医疗机构护工服务的监督管理。</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jc w:val="center"/>
        <w:rPr>
          <w:rFonts w:ascii="微软雅黑" w:eastAsia="微软雅黑" w:hAnsi="微软雅黑"/>
          <w:b/>
          <w:color w:val="C00000"/>
          <w:sz w:val="24"/>
        </w:rPr>
      </w:pPr>
      <w:r w:rsidRPr="009A0204">
        <w:rPr>
          <w:rFonts w:ascii="微软雅黑" w:eastAsia="微软雅黑" w:hAnsi="微软雅黑"/>
          <w:b/>
          <w:color w:val="C00000"/>
          <w:sz w:val="24"/>
        </w:rPr>
        <w:t>第四章　产业促进</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第二十八条</w:t>
      </w:r>
      <w:r w:rsidRPr="009A0204">
        <w:rPr>
          <w:rFonts w:ascii="微软雅黑" w:eastAsia="微软雅黑" w:hAnsi="微软雅黑"/>
          <w:sz w:val="24"/>
        </w:rPr>
        <w:t xml:space="preserve">　县级以上人民政府及其有关部门应当加大对家政服务业的支持力度，改善家政服务人员的从业环境，促进家政服务机构发展，培育家政服务区域特色品牌。</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设区的市、县（市、区）人民政府及其有关部门对取得家政服务机构码的家政服务机构，可以结合其信用评价情况，采取员工体检、培训、保险等费用补贴以及消费券定点兑付等措施，扶持其发展。</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第二十九条</w:t>
      </w:r>
      <w:r w:rsidRPr="009A0204">
        <w:rPr>
          <w:rFonts w:ascii="微软雅黑" w:eastAsia="微软雅黑" w:hAnsi="微软雅黑"/>
          <w:sz w:val="24"/>
        </w:rPr>
        <w:t xml:space="preserve">　财政部门、税务机关应当按照各自职责，指导和帮助家政服务机构依法享受税费减免等优惠政策。</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家政服务机构在社区设置服务网点的，发展改革主管部门应当明确其用水、用电、用气等费用实行居民价格的具体条件、办理单位、办理流程等事项。</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住房城乡建设主管部门应当采取措施，引导新建住宅小区和老旧小区改造时同步建设家政服务网点设施或者预留家政服务网点设施场地。</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第三十条</w:t>
      </w:r>
      <w:r w:rsidRPr="009A0204">
        <w:rPr>
          <w:rFonts w:ascii="微软雅黑" w:eastAsia="微软雅黑" w:hAnsi="微软雅黑"/>
          <w:sz w:val="24"/>
        </w:rPr>
        <w:t xml:space="preserve">　省人力资源社会保障主管部门应当将母婴护理员、养老护理员等市场急需的家政服务纳入职业培训目录和紧缺职业（工种）目录。</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人力资源社会保障主管部门应当会同商务主管部门、财政部门，建立适应家政服务业发展的职业培训、等级认定和等级提升补贴机制。</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人力资源社会保障主管部门应当会同商务主管部门将家政服务纳入职业培训计划，组织开展家政服务人员职业技能培训，并加强对家政服务人员职业技能培训和等级认定的监督管理。</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第三十一条</w:t>
      </w:r>
      <w:r w:rsidRPr="009A0204">
        <w:rPr>
          <w:rFonts w:ascii="微软雅黑" w:eastAsia="微软雅黑" w:hAnsi="微软雅黑"/>
          <w:sz w:val="24"/>
        </w:rPr>
        <w:t xml:space="preserve">　鼓励保险公司开发按日或者按次计费型的家政服务人员意外伤害保险、职业责任保险等保险产品，允许家政服务机构、家政服务人员、家政服务用户按日或者按次投保。设区的市、县（市、区）人民政府可以对家政服务相关保险费予以补贴。</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家政服务机构应当通过投保家政服务人员意外伤害保险、职业责任保险等方式，增强自身风险抵御能力。</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第三十二条</w:t>
      </w:r>
      <w:r w:rsidRPr="009A0204">
        <w:rPr>
          <w:rFonts w:ascii="微软雅黑" w:eastAsia="微软雅黑" w:hAnsi="微软雅黑"/>
          <w:sz w:val="24"/>
        </w:rPr>
        <w:t xml:space="preserve">　教育主管部门、人力资源社会保障主管部门应当支持高等院校、中等职业学校（含技工学校）开设家政服务相关专业，培养和引进专业师资队伍，促进技能培训与学历培养相衔接。</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高等院校、中等职业学校（含技工学校）应当加大家政服务应用型、高技能人才培养力度，通过联合家政服务机构建设实训基地等形式，提升家政服务人员技能水平。</w:t>
      </w:r>
    </w:p>
    <w:p w:rsidR="0085369E" w:rsidRDefault="004C5DFB" w:rsidP="009A0204">
      <w:pPr>
        <w:spacing w:line="340" w:lineRule="exact"/>
        <w:ind w:firstLineChars="200" w:firstLine="472"/>
        <w:rPr>
          <w:rFonts w:ascii="微软雅黑" w:eastAsia="微软雅黑" w:hAnsi="微软雅黑" w:hint="eastAsia"/>
          <w:sz w:val="24"/>
        </w:rPr>
      </w:pPr>
      <w:r w:rsidRPr="001F4921">
        <w:rPr>
          <w:rFonts w:ascii="微软雅黑" w:eastAsia="微软雅黑" w:hAnsi="微软雅黑"/>
          <w:b/>
          <w:sz w:val="24"/>
        </w:rPr>
        <w:t>第三十三条</w:t>
      </w:r>
      <w:r w:rsidRPr="009A0204">
        <w:rPr>
          <w:rFonts w:ascii="微软雅黑" w:eastAsia="微软雅黑" w:hAnsi="微软雅黑"/>
          <w:sz w:val="24"/>
        </w:rPr>
        <w:t xml:space="preserve">　经济和信息化、科学技术、商务等部门应当加强家政专业设备和智能产品研发制造企业的培育，支持智能家政机器人和智能养老护理设备等产品的研究、开发及推广应用，促进家政服务业创新发展。</w:t>
      </w:r>
    </w:p>
    <w:p w:rsidR="002F2EF2" w:rsidRPr="009A0204" w:rsidRDefault="002F2EF2" w:rsidP="009A0204">
      <w:pPr>
        <w:spacing w:line="340" w:lineRule="exact"/>
        <w:ind w:firstLineChars="200" w:firstLine="472"/>
        <w:rPr>
          <w:rFonts w:ascii="微软雅黑" w:eastAsia="微软雅黑" w:hAnsi="微软雅黑"/>
          <w:sz w:val="24"/>
        </w:rPr>
      </w:pP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第三十四条</w:t>
      </w:r>
      <w:r w:rsidRPr="009A0204">
        <w:rPr>
          <w:rFonts w:ascii="微软雅黑" w:eastAsia="微软雅黑" w:hAnsi="微软雅黑"/>
          <w:sz w:val="24"/>
        </w:rPr>
        <w:t xml:space="preserve">　乡镇人民政府、街道办事处应当采取措施，支持家政服务机构利用社区综合服务中心等现有社区公共服务设施设立服务网点，进驻社区信息平台，提供便捷惠民的家电维修、管道疏通、专业清洗、上门开锁等具有社区特点的家用设施物品维修保养服务。</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第三十五条</w:t>
      </w:r>
      <w:r w:rsidRPr="009A0204">
        <w:rPr>
          <w:rFonts w:ascii="微软雅黑" w:eastAsia="微软雅黑" w:hAnsi="微软雅黑"/>
          <w:sz w:val="24"/>
        </w:rPr>
        <w:t xml:space="preserve">　省商务、发展改革、人力资源社会保障等部门应当与省外劳务输出地建立家政服务协作机制，推动家政服务供需信息互通、跨省体检结果互认，引导省外人员进入家政服务行业。</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省商务主管部门、省人力资源社会保障主管部门应当推动设区的市之间建立家政服务协作机制，提升省内家政服务供需对接效率。</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第三十六条</w:t>
      </w:r>
      <w:r w:rsidRPr="009A0204">
        <w:rPr>
          <w:rFonts w:ascii="微软雅黑" w:eastAsia="微软雅黑" w:hAnsi="微软雅黑"/>
          <w:sz w:val="24"/>
        </w:rPr>
        <w:t xml:space="preserve">　工会、共产主义青年团、妇女联合会等团体可以按照国家和省有关规定，建立和完善家政服务机构和家政服务人员的评优、评先制度，组织开展评优、评先工作，并加强对家政服务行业先进典型的宣传，提升家政服务人员职业荣誉感。</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jc w:val="center"/>
        <w:rPr>
          <w:rFonts w:ascii="微软雅黑" w:eastAsia="微软雅黑" w:hAnsi="微软雅黑"/>
          <w:b/>
          <w:color w:val="C00000"/>
          <w:sz w:val="24"/>
        </w:rPr>
      </w:pPr>
      <w:r w:rsidRPr="009A0204">
        <w:rPr>
          <w:rFonts w:ascii="微软雅黑" w:eastAsia="微软雅黑" w:hAnsi="微软雅黑"/>
          <w:b/>
          <w:color w:val="C00000"/>
          <w:sz w:val="24"/>
        </w:rPr>
        <w:t>第五章　法律责任</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第三十七条</w:t>
      </w:r>
      <w:r w:rsidRPr="009A0204">
        <w:rPr>
          <w:rFonts w:ascii="微软雅黑" w:eastAsia="微软雅黑" w:hAnsi="微软雅黑"/>
          <w:sz w:val="24"/>
        </w:rPr>
        <w:t xml:space="preserve">　违反本条例规定的行为，法律、行政法规已有法律责任规定的，从其规定。</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第三十八条</w:t>
      </w:r>
      <w:r w:rsidRPr="009A0204">
        <w:rPr>
          <w:rFonts w:ascii="微软雅黑" w:eastAsia="微软雅黑" w:hAnsi="微软雅黑"/>
          <w:sz w:val="24"/>
        </w:rPr>
        <w:t xml:space="preserve">　商务、市场监督管理、人力资源社会保障等部门及其工作人员在家政服务管理和促进家政服务业发展工作中，滥用职权、玩忽职守、徇私舞弊的，由有权机关对负有责任的领导人员和直接责任人员依法给予处理。</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第三十九条</w:t>
      </w:r>
      <w:r w:rsidRPr="009A0204">
        <w:rPr>
          <w:rFonts w:ascii="微软雅黑" w:eastAsia="微软雅黑" w:hAnsi="微软雅黑"/>
          <w:sz w:val="24"/>
        </w:rPr>
        <w:t xml:space="preserve">　家政服务机构违反本条例第八条第一款规定，未按照规定在</w:t>
      </w:r>
      <w:bookmarkStart w:id="0" w:name="_GoBack"/>
      <w:r w:rsidRPr="009A0204">
        <w:rPr>
          <w:rFonts w:ascii="微软雅黑" w:eastAsia="微软雅黑" w:hAnsi="微软雅黑"/>
          <w:sz w:val="24"/>
        </w:rPr>
        <w:t>“</w:t>
      </w:r>
      <w:bookmarkEnd w:id="0"/>
      <w:r w:rsidRPr="009A0204">
        <w:rPr>
          <w:rFonts w:ascii="微软雅黑" w:eastAsia="微软雅黑" w:hAnsi="微软雅黑"/>
          <w:sz w:val="24"/>
        </w:rPr>
        <w:t>浙里家政”录入信息的，由商务主管部门责令限期改正；逾期未改正的，处二千元以上一万元以下罚款。</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第四十条</w:t>
      </w:r>
      <w:r w:rsidRPr="009A0204">
        <w:rPr>
          <w:rFonts w:ascii="微软雅黑" w:eastAsia="微软雅黑" w:hAnsi="微软雅黑"/>
          <w:sz w:val="24"/>
        </w:rPr>
        <w:t xml:space="preserve">　家政服务机构违反本条例第二十二条第二款和第二十四条规定，对家政服务用户提出的退还服务费、居间介绍费等相关费用的要求，故意拖延或者无理拒绝的，由市场监督管理部门责令改正，可以给予警告或者处二千元以上二万元以下罚款。</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第四十一条</w:t>
      </w:r>
      <w:r w:rsidRPr="009A0204">
        <w:rPr>
          <w:rFonts w:ascii="微软雅黑" w:eastAsia="微软雅黑" w:hAnsi="微软雅黑"/>
          <w:sz w:val="24"/>
        </w:rPr>
        <w:t xml:space="preserve">　家政服务机构违反本条例第二十三条第一项、第二项规定，指派或者居间介绍未取得家政服务人员码、未按照规定参加相应类别体检或者体检不合格的人员从事家政服务的，由商务主管部门责令改正；拒不改正的，处二千元以上一万元以下罚款。</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微软雅黑" w:eastAsia="微软雅黑" w:hAnsi="微软雅黑"/>
          <w:sz w:val="24"/>
        </w:rPr>
        <w:t>家政服务机构违反本条例第二十三条第三项规定，隐瞒家政服务用户、家政服务人员应当知晓的重要事实或者提供虚假情况的，由商务主管部门责令改正；拒不改正的，处五千元以上三万元以下罚款。</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第四十二条</w:t>
      </w:r>
      <w:r w:rsidRPr="009A0204">
        <w:rPr>
          <w:rFonts w:ascii="微软雅黑" w:eastAsia="微软雅黑" w:hAnsi="微软雅黑"/>
          <w:sz w:val="24"/>
        </w:rPr>
        <w:t xml:space="preserve">　家政服务机构指派的家政服务人员违反本条例第二十五条第四项规定，向家政服务用户重复收费、编造服务项目收费、虚构家用设施物品故障或者谎报用工用料的，由市场监督管理部门责令改正；拒不改正的，对家政服务机构处二千元以上一万元以下罚款。</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jc w:val="center"/>
        <w:rPr>
          <w:rFonts w:ascii="微软雅黑" w:eastAsia="微软雅黑" w:hAnsi="微软雅黑"/>
          <w:b/>
          <w:color w:val="C00000"/>
          <w:sz w:val="24"/>
        </w:rPr>
      </w:pPr>
      <w:r w:rsidRPr="009A0204">
        <w:rPr>
          <w:rFonts w:ascii="微软雅黑" w:eastAsia="微软雅黑" w:hAnsi="微软雅黑"/>
          <w:b/>
          <w:color w:val="C00000"/>
          <w:sz w:val="24"/>
        </w:rPr>
        <w:t>第六章　附　　则</w:t>
      </w:r>
    </w:p>
    <w:p w:rsidR="0085369E" w:rsidRPr="009A0204" w:rsidRDefault="004C5DFB" w:rsidP="009A0204">
      <w:pPr>
        <w:spacing w:line="340" w:lineRule="exact"/>
        <w:ind w:firstLineChars="200" w:firstLine="472"/>
        <w:rPr>
          <w:rFonts w:ascii="微软雅黑" w:eastAsia="微软雅黑" w:hAnsi="微软雅黑"/>
          <w:sz w:val="24"/>
        </w:rPr>
      </w:pPr>
      <w:r w:rsidRPr="009A0204">
        <w:rPr>
          <w:rFonts w:ascii="MS Gothic" w:eastAsia="MS Gothic" w:hAnsi="MS Gothic" w:cs="MS Gothic" w:hint="eastAsia"/>
          <w:sz w:val="24"/>
        </w:rPr>
        <w:t>​</w:t>
      </w:r>
    </w:p>
    <w:p w:rsidR="0085369E" w:rsidRPr="009A0204" w:rsidRDefault="004C5DFB" w:rsidP="009A0204">
      <w:pPr>
        <w:spacing w:line="340" w:lineRule="exact"/>
        <w:ind w:firstLineChars="200" w:firstLine="472"/>
        <w:rPr>
          <w:rFonts w:ascii="微软雅黑" w:eastAsia="微软雅黑" w:hAnsi="微软雅黑"/>
          <w:sz w:val="24"/>
        </w:rPr>
      </w:pPr>
      <w:r w:rsidRPr="001F4921">
        <w:rPr>
          <w:rFonts w:ascii="微软雅黑" w:eastAsia="微软雅黑" w:hAnsi="微软雅黑"/>
          <w:b/>
          <w:sz w:val="24"/>
        </w:rPr>
        <w:t>第四十三条</w:t>
      </w:r>
      <w:r w:rsidRPr="009A0204">
        <w:rPr>
          <w:rFonts w:ascii="微软雅黑" w:eastAsia="微软雅黑" w:hAnsi="微软雅黑"/>
          <w:sz w:val="24"/>
        </w:rPr>
        <w:t xml:space="preserve">　本条例自2024年7月1日起施行。</w:t>
      </w:r>
    </w:p>
    <w:sectPr w:rsidR="0085369E" w:rsidRPr="009A0204" w:rsidSect="00D70D31">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D6A" w:rsidRDefault="00887D6A" w:rsidP="0085369E">
      <w:r>
        <w:separator/>
      </w:r>
    </w:p>
  </w:endnote>
  <w:endnote w:type="continuationSeparator" w:id="0">
    <w:p w:rsidR="00887D6A" w:rsidRDefault="00887D6A" w:rsidP="008536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9E" w:rsidRDefault="004C5DFB">
    <w:pPr>
      <w:pStyle w:val="a3"/>
      <w:rPr>
        <w:sz w:val="28"/>
        <w:szCs w:val="28"/>
      </w:rPr>
    </w:pPr>
    <w:r>
      <w:rPr>
        <w:rFonts w:ascii="宋体" w:hAnsi="宋体" w:hint="eastAsia"/>
        <w:sz w:val="28"/>
        <w:szCs w:val="28"/>
      </w:rPr>
      <w:t xml:space="preserve">　－</w:t>
    </w:r>
    <w:r w:rsidR="008C63F7">
      <w:rPr>
        <w:sz w:val="28"/>
        <w:szCs w:val="28"/>
      </w:rPr>
      <w:fldChar w:fldCharType="begin"/>
    </w:r>
    <w:r>
      <w:rPr>
        <w:rFonts w:ascii="宋体" w:hAnsi="宋体"/>
        <w:sz w:val="28"/>
        <w:szCs w:val="28"/>
      </w:rPr>
      <w:instrText>PAGE   \* MERGEFORMAT</w:instrText>
    </w:r>
    <w:r w:rsidR="008C63F7">
      <w:rPr>
        <w:sz w:val="28"/>
        <w:szCs w:val="28"/>
      </w:rPr>
      <w:fldChar w:fldCharType="separate"/>
    </w:r>
    <w:r w:rsidR="00206277" w:rsidRPr="00206277">
      <w:rPr>
        <w:noProof/>
        <w:sz w:val="28"/>
        <w:szCs w:val="28"/>
        <w:lang w:val="zh-CN"/>
      </w:rPr>
      <w:t>4</w:t>
    </w:r>
    <w:r w:rsidR="008C63F7">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9E" w:rsidRDefault="004C5DFB">
    <w:pPr>
      <w:pStyle w:val="a3"/>
      <w:wordWrap w:val="0"/>
      <w:jc w:val="right"/>
    </w:pPr>
    <w:r>
      <w:rPr>
        <w:rFonts w:ascii="宋体" w:hAnsi="宋体" w:hint="eastAsia"/>
        <w:sz w:val="28"/>
        <w:szCs w:val="28"/>
      </w:rPr>
      <w:t>－</w:t>
    </w:r>
    <w:r w:rsidR="008C63F7">
      <w:rPr>
        <w:sz w:val="28"/>
        <w:szCs w:val="28"/>
      </w:rPr>
      <w:fldChar w:fldCharType="begin"/>
    </w:r>
    <w:r>
      <w:rPr>
        <w:rFonts w:ascii="宋体" w:hAnsi="宋体"/>
        <w:sz w:val="28"/>
        <w:szCs w:val="28"/>
      </w:rPr>
      <w:instrText>PAGE   \* MERGEFORMAT</w:instrText>
    </w:r>
    <w:r w:rsidR="008C63F7">
      <w:rPr>
        <w:sz w:val="28"/>
        <w:szCs w:val="28"/>
      </w:rPr>
      <w:fldChar w:fldCharType="separate"/>
    </w:r>
    <w:r w:rsidR="002F2EF2" w:rsidRPr="002F2EF2">
      <w:rPr>
        <w:noProof/>
        <w:sz w:val="28"/>
        <w:szCs w:val="28"/>
        <w:lang w:val="zh-CN"/>
      </w:rPr>
      <w:t>2</w:t>
    </w:r>
    <w:r w:rsidR="008C63F7">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D6A" w:rsidRDefault="00887D6A" w:rsidP="0085369E">
      <w:r>
        <w:separator/>
      </w:r>
    </w:p>
  </w:footnote>
  <w:footnote w:type="continuationSeparator" w:id="0">
    <w:p w:rsidR="00887D6A" w:rsidRDefault="00887D6A" w:rsidP="008536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1F4921"/>
    <w:rsid w:val="00206277"/>
    <w:rsid w:val="00212197"/>
    <w:rsid w:val="00226845"/>
    <w:rsid w:val="002434D9"/>
    <w:rsid w:val="002447F6"/>
    <w:rsid w:val="00247B39"/>
    <w:rsid w:val="00265F71"/>
    <w:rsid w:val="002E3D11"/>
    <w:rsid w:val="002F2EF2"/>
    <w:rsid w:val="002F77E5"/>
    <w:rsid w:val="00303251"/>
    <w:rsid w:val="00307CD3"/>
    <w:rsid w:val="00315BE5"/>
    <w:rsid w:val="00353AD7"/>
    <w:rsid w:val="003A0332"/>
    <w:rsid w:val="003F636B"/>
    <w:rsid w:val="00420DB2"/>
    <w:rsid w:val="0044207F"/>
    <w:rsid w:val="0048283C"/>
    <w:rsid w:val="004C5DFB"/>
    <w:rsid w:val="004D0668"/>
    <w:rsid w:val="004D5710"/>
    <w:rsid w:val="004F542C"/>
    <w:rsid w:val="00550A4A"/>
    <w:rsid w:val="005667BC"/>
    <w:rsid w:val="005A4A7E"/>
    <w:rsid w:val="005A6D14"/>
    <w:rsid w:val="005C49EF"/>
    <w:rsid w:val="005C5893"/>
    <w:rsid w:val="005F0A94"/>
    <w:rsid w:val="00610663"/>
    <w:rsid w:val="00616EB4"/>
    <w:rsid w:val="0066351E"/>
    <w:rsid w:val="006A6786"/>
    <w:rsid w:val="006B2EDC"/>
    <w:rsid w:val="006C418A"/>
    <w:rsid w:val="006C7885"/>
    <w:rsid w:val="006D3381"/>
    <w:rsid w:val="006E600C"/>
    <w:rsid w:val="00752AE4"/>
    <w:rsid w:val="00785C4E"/>
    <w:rsid w:val="007A6644"/>
    <w:rsid w:val="0082159D"/>
    <w:rsid w:val="00834B22"/>
    <w:rsid w:val="008351B6"/>
    <w:rsid w:val="008503CF"/>
    <w:rsid w:val="0085369E"/>
    <w:rsid w:val="00867A37"/>
    <w:rsid w:val="00887D6A"/>
    <w:rsid w:val="008A10A6"/>
    <w:rsid w:val="008C63F7"/>
    <w:rsid w:val="008D32FC"/>
    <w:rsid w:val="00937399"/>
    <w:rsid w:val="0095739C"/>
    <w:rsid w:val="009A0204"/>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37387"/>
    <w:rsid w:val="00D50578"/>
    <w:rsid w:val="00D625F1"/>
    <w:rsid w:val="00D64B65"/>
    <w:rsid w:val="00D677FE"/>
    <w:rsid w:val="00D70D31"/>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0FF7E43"/>
    <w:rsid w:val="05EE09DC"/>
    <w:rsid w:val="0D9804AC"/>
    <w:rsid w:val="11E4354D"/>
    <w:rsid w:val="16DC7373"/>
    <w:rsid w:val="344634A2"/>
    <w:rsid w:val="3DE63740"/>
    <w:rsid w:val="481351D2"/>
    <w:rsid w:val="53543565"/>
    <w:rsid w:val="558A062C"/>
    <w:rsid w:val="622F12CF"/>
    <w:rsid w:val="653E08AD"/>
    <w:rsid w:val="71B9247E"/>
    <w:rsid w:val="756E5FFB"/>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69E"/>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5369E"/>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85369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85369E"/>
    <w:rPr>
      <w:color w:val="954F72"/>
      <w:u w:val="single"/>
    </w:rPr>
  </w:style>
  <w:style w:type="character" w:styleId="a6">
    <w:name w:val="Hyperlink"/>
    <w:uiPriority w:val="99"/>
    <w:qFormat/>
    <w:rsid w:val="0085369E"/>
    <w:rPr>
      <w:rFonts w:ascii="ˎ̥" w:hAnsi="ˎ̥" w:hint="default"/>
      <w:color w:val="0404B3"/>
      <w:sz w:val="18"/>
      <w:szCs w:val="18"/>
      <w:u w:val="none"/>
    </w:rPr>
  </w:style>
  <w:style w:type="character" w:customStyle="1" w:styleId="Char">
    <w:name w:val="页脚 Char"/>
    <w:link w:val="a3"/>
    <w:uiPriority w:val="99"/>
    <w:qFormat/>
    <w:rsid w:val="0085369E"/>
    <w:rPr>
      <w:sz w:val="18"/>
      <w:szCs w:val="18"/>
    </w:rPr>
  </w:style>
  <w:style w:type="character" w:customStyle="1" w:styleId="Char0">
    <w:name w:val="页眉 Char"/>
    <w:link w:val="a4"/>
    <w:uiPriority w:val="99"/>
    <w:qFormat/>
    <w:rsid w:val="0085369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994</Words>
  <Characters>5672</Characters>
  <Application>Microsoft Office Word</Application>
  <DocSecurity>0</DocSecurity>
  <Lines>47</Lines>
  <Paragraphs>13</Paragraphs>
  <ScaleCrop>false</ScaleCrop>
  <Company>Newdaxie</Company>
  <LinksUpToDate>false</LinksUpToDate>
  <CharactersWithSpaces>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26</cp:revision>
  <dcterms:created xsi:type="dcterms:W3CDTF">2017-11-15T10:33:00Z</dcterms:created>
  <dcterms:modified xsi:type="dcterms:W3CDTF">2025-07-23T07:49:00Z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